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0b0b897b-1e2f-40bd-af58-f6dc25200d60</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contract for production deployment, as it is clear from the pilot software agreement that any such deployment required a signed order form, which was never executed. Furthermore, the claims of promissory estoppel and unjust enrichment are duplicative of the breach of contract claim and lack the necessary elements to survive dismissal.</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would require a later signed order form. Despite discussions between employees of both parties regarding the potential rollout, no such order form was ever signed, and thus no binding contract for production exists. Aurora's claims arise from alleged oral assurances regarding a paid rollout, which do not constitute enforceable promises under the law.</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A motion to dismiss under Rule 12(b)(6) of the Federal Rules of Civil Procedure tests the sufficiency of the complaint. To survive dismissal, a complaint must contain sufficient factual matter, accepted as true, to 'state a claim to relief that is plausible on its face.' Ashcroft v. Iqbal, 556 U.S. 662, 678 (2009). In this case, the complaint fails to allege a binding contract or any enforceable promise beyond preliminary negotiations.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1. The Complaint Fails to Identify a Binding Production Contract: The pilot agreement clearly states that a signed order form is necessary for any production deployment. Without this signed document, no enforceable contract exists.</w:t>
      </w:r>
    </w:p>
    <w:p>
      <w:pPr>
        <w:spacing w:after="200"/>
        <w:jc w:val="both"/>
      </w:pPr>
      <w:r>
        <w:rPr>
          <w:rFonts w:ascii="Times New Roman" w:cs="Times New Roman" w:eastAsia="Times New Roman" w:hAnsi="Times New Roman"/>
          <w:sz w:val="24"/>
          <w:szCs w:val="24"/>
        </w:rPr>
        <w:t xml:space="preserve">2. Promissory Estoppel and Unjust Enrichment Claims Are Duplicative: The claims for promissory estoppel and unjust enrichment are based on the same set of facts as the breach of contract claim and should be dismissed as they are not viable when a valid contract governs the relationship between the parties.</w:t>
      </w:r>
    </w:p>
    <w:p>
      <w:pPr>
        <w:spacing w:after="200"/>
        <w:jc w:val="both"/>
      </w:pPr>
      <w:r>
        <w:rPr>
          <w:rFonts w:ascii="Times New Roman" w:cs="Times New Roman" w:eastAsia="Times New Roman" w:hAnsi="Times New Roman"/>
          <w:sz w:val="24"/>
          <w:szCs w:val="24"/>
        </w:rPr>
        <w:t xml:space="preserve">3. No Definite Promise Beyond Negotiations: The allegations of oral assurances do not rise to the level of a binding commitment and are insufficient to support the claims made in the complaint.</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foregoing reasons,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2026-06-28T04:37:37.268Z</dcterms:created>
  <dcterms:modified xsi:type="dcterms:W3CDTF">2026-06-28T04:37:37.268Z</dcterms:modified>
</cp:coreProperties>
</file>

<file path=docProps/custom.xml><?xml version="1.0" encoding="utf-8"?>
<Properties xmlns="http://schemas.openxmlformats.org/officeDocument/2006/custom-properties" xmlns:vt="http://schemas.openxmlformats.org/officeDocument/2006/docPropsVTypes"/>
</file>