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16d960b5-678b-4c6a-b4e2-0a118bf2ea84</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production contract, lacks any definite promise beyond preliminary negotiations, and improperly duplicates quasi-contract claims that are governed by the written pilot agreement.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Despite discussions regarding a potential rollout, no such order form was ever executed. Aurora's complaint alleges breach of contract, promissory estoppel, and unjust enrichment based on alleged oral assurances from Northstar employees regarding the rollout.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Federal Rule of Civil Procedure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plaintiff. However, mere conclusory statements or a formulaic recitation of the elements of a cause of action will not suffice.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should be dismissed because it does not identify a binding production contract. The pilot agreement clearly states that a signed order form is necessary for any production deployment, which was never executed. Furthermore, the allegations of promissory estoppel and unjust enrichment are duplicative of the breach of contract claim and cannot stand where the written agreement governs the parties' relationship. The discussions and oral assurances cited by Aurora do not constitute a definite promise and are insufficient to create enforceable obligations.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2026-10-28T07:16:35.553Z</dcterms:created>
  <dcterms:modified xsi:type="dcterms:W3CDTF">2026-10-28T07:16:35.553Z</dcterms:modified>
</cp:coreProperties>
</file>

<file path=docProps/custom.xml><?xml version="1.0" encoding="utf-8"?>
<Properties xmlns="http://schemas.openxmlformats.org/officeDocument/2006/custom-properties" xmlns:vt="http://schemas.openxmlformats.org/officeDocument/2006/docPropsVTypes"/>
</file>