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Matter: Aurora Analytics LLC v. Northstar Retail Systems. 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 Desired output: Draft a concise defendant-side motion to dismiss outline with verified citations, SD</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3783a02c-9bd3-4d52-8729-a4acd8b16b28</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a binding contract for production deployment, as required by the pilot software agreement, and asserts claims that are legally insufficient.</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alleges that Northstar Retail Systems breached a pilot software agreement after a six-week evaluation period. The pilot agreement explicitly states that any production deployment requires a later signed order form, which was never executed. The complaint further alleges breach of contract, promissory estoppel, and unjust enrichment based on purported oral assurances regarding a paid rollout.</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In evaluating a motion to dismiss under Rule 12(b)(6), the Court must accept all factual allegations in the complaint as true and draw all reasonable inferences in favor of the plaintiff. However, the complaint must contain sufficient factual matter to state a claim that is plausible on its face.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The complaint should be dismissed because it does not identify a binding production contract. The pilot agreement clearly stipulates that a signed order form is necessary for any production deployment, which was not fulfilled. Furthermore, the claims of promissory estoppel and unjust enrichment are duplicative of the breach of contract claim and are not viable as the pilot agreement governs the relationship between the parties. The absence of a definite promise beyond negotiations further undermines the plaintiff's claims.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in its entirety.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2026-10-28T07:18:11.027Z</dcterms:created>
  <dcterms:modified xsi:type="dcterms:W3CDTF">2026-10-28T07:18:11.027Z</dcterms:modified>
</cp:coreProperties>
</file>

<file path=docProps/custom.xml><?xml version="1.0" encoding="utf-8"?>
<Properties xmlns="http://schemas.openxmlformats.org/officeDocument/2006/custom-properties" xmlns:vt="http://schemas.openxmlformats.org/officeDocument/2006/docPropsVTypes"/>
</file>