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Prepare a motion to dismiss in S.D.N.Y.. Plaintiff Aurora Analytics LLC alleges that defendant Northstar Retail Systems breached a pilot software agreement after a six-week evaluation period. The written pilot agreement stated that any production deployment required a later signed order form, but no order form was signed. The complaint asserts breach of contract, promissory estoppel, and unjust enrichment based on alleged oral assurances that Northstar would proceed to a paid rollout. Northstar </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487b39a9-0f80-4402-82a6-c160d13f42ff</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PRELIMINARY STATEMENT</w:t>
      </w:r>
    </w:p>
    <w:p>
      <w:pPr>
        <w:spacing w:after="200"/>
        <w:jc w:val="both"/>
      </w:pPr>
      <w:r>
        <w:rPr>
          <w:rFonts w:ascii="Times New Roman" w:cs="Times New Roman" w:eastAsia="Times New Roman" w:hAnsi="Times New Roman"/>
          <w:sz w:val="24"/>
          <w:szCs w:val="24"/>
        </w:rPr>
        <w:t xml:space="preserve">Defendant Northstar Retail Systems respectfully moves this Court to dismiss the complaint filed by Plaintiff Aurora Analytics LLC. The complaint fails to establish the existence of a binding contract for production deployment, as it is undisputed that no signed order form was executed. Furthermore, the claims of promissory estoppel and unjust enrichment are duplicative of the breach of contract claim and lack the requisite elements to survive dismissal.</w:t>
      </w:r>
    </w:p>
    <w:p>
      <w:pPr>
        <w:pStyle w:val="Heading1"/>
        <w:pStyle w:val="Heading1"/>
        <w:spacing w:after="160" w:before="320"/>
      </w:pPr>
      <w:r>
        <w:t xml:space="preserve">STATEMENT OF RELEVANT FACTS</w:t>
      </w:r>
    </w:p>
    <w:p>
      <w:pPr>
        <w:spacing w:after="200"/>
        <w:jc w:val="both"/>
      </w:pPr>
      <w:r>
        <w:rPr>
          <w:rFonts w:ascii="Times New Roman" w:cs="Times New Roman" w:eastAsia="Times New Roman" w:hAnsi="Times New Roman"/>
          <w:sz w:val="24"/>
          <w:szCs w:val="24"/>
        </w:rPr>
        <w:t xml:space="preserve">Plaintiff Aurora Analytics LLC entered into a pilot software agreement with Northstar Retail Systems, which allowed Aurora to configure a sample dashboard. The pilot agreement explicitly stated that any production deployment would require a later signed order form. Despite discussions regarding a potential rollout, no such order form was ever signed, and the parties did not reach a binding agreement for production. Aurora's claims arise from alleged oral assurances made by Northstar employees, which do not constitute enforceable promises under the law.</w:t>
      </w:r>
    </w:p>
    <w:p>
      <w:pPr>
        <w:pStyle w:val="Heading1"/>
        <w:pStyle w:val="Heading1"/>
        <w:spacing w:after="160" w:before="320"/>
      </w:pPr>
      <w:r>
        <w:t xml:space="preserve">LEGAL STANDARD</w:t>
      </w:r>
    </w:p>
    <w:p>
      <w:pPr>
        <w:spacing w:after="200"/>
        <w:jc w:val="both"/>
      </w:pPr>
      <w:r>
        <w:rPr>
          <w:rFonts w:ascii="Times New Roman" w:cs="Times New Roman" w:eastAsia="Times New Roman" w:hAnsi="Times New Roman"/>
          <w:sz w:val="24"/>
          <w:szCs w:val="24"/>
        </w:rPr>
        <w:t xml:space="preserve">To survive a motion to dismiss under Rule 12(b)(6), a complaint must contain sufficient factual matter, accepted as true, to 'state a claim to relief that is plausible on its face.' Ashcroft v. Iqbal, 556 U.S. 662, 678 (2009). A claim is plausible when the plaintiff pleads factual content that allows the court to draw the reasonable inference that the defendant is liable for the misconduct alleged. NOTE: No verified legal citations were retrieved. This draft must be supplemented with properly researched authority before use.</w:t>
      </w:r>
    </w:p>
    <w:p>
      <w:pPr>
        <w:pStyle w:val="Heading1"/>
        <w:pStyle w:val="Heading1"/>
        <w:spacing w:after="160" w:before="320"/>
      </w:pPr>
      <w:r>
        <w:t xml:space="preserve">ARGUMENT</w:t>
      </w:r>
    </w:p>
    <w:p>
      <w:pPr>
        <w:spacing w:after="200"/>
        <w:jc w:val="both"/>
      </w:pPr>
      <w:r>
        <w:rPr>
          <w:rFonts w:ascii="Times New Roman" w:cs="Times New Roman" w:eastAsia="Times New Roman" w:hAnsi="Times New Roman"/>
          <w:sz w:val="24"/>
          <w:szCs w:val="24"/>
        </w:rPr>
        <w:t xml:space="preserve">1. The Complaint Fails to Identify a Binding Production Contract: The pilot agreement clearly states that any production deployment requires a signed order form, which was never executed. Therefore, there is no binding contract for production, and the breach of contract claim must fail.</w:t>
      </w:r>
    </w:p>
    <w:p>
      <w:pPr>
        <w:spacing w:after="200"/>
        <w:jc w:val="both"/>
      </w:pPr>
      <w:r>
        <w:rPr>
          <w:rFonts w:ascii="Times New Roman" w:cs="Times New Roman" w:eastAsia="Times New Roman" w:hAnsi="Times New Roman"/>
          <w:sz w:val="24"/>
          <w:szCs w:val="24"/>
        </w:rPr>
        <w:t xml:space="preserve">2. Promissory Estoppel and Unjust Enrichment Claims Are Duplicative: The claims of promissory estoppel and unjust enrichment are based on the same set of facts as the breach of contract claim. Since the pilot agreement governs the parties' relationship, these quasi-contract claims should be dismissed as they are not viable in the presence of an enforceable contract.</w:t>
      </w:r>
    </w:p>
    <w:p>
      <w:pPr>
        <w:spacing w:after="200"/>
        <w:jc w:val="both"/>
      </w:pPr>
      <w:r>
        <w:rPr>
          <w:rFonts w:ascii="Times New Roman" w:cs="Times New Roman" w:eastAsia="Times New Roman" w:hAnsi="Times New Roman"/>
          <w:sz w:val="24"/>
          <w:szCs w:val="24"/>
        </w:rPr>
        <w:t xml:space="preserve">3. No Definite Promise Beyond Negotiations: The allegations regarding oral assurances do not constitute a definite promise that can support a claim for promissory estoppel. The discussions about rollout timing do not meet the legal standard for enforceability, as they were merely preliminary negotiations.</w:t>
      </w:r>
    </w:p>
    <w:p>
      <w:pPr>
        <w:pStyle w:val="Heading1"/>
        <w:pStyle w:val="Heading1"/>
        <w:spacing w:after="160" w:before="320"/>
      </w:pPr>
      <w:r>
        <w:t xml:space="preserve">CONCLUSION</w:t>
      </w:r>
    </w:p>
    <w:p>
      <w:pPr>
        <w:spacing w:after="200"/>
        <w:jc w:val="both"/>
      </w:pPr>
      <w:r>
        <w:rPr>
          <w:rFonts w:ascii="Times New Roman" w:cs="Times New Roman" w:eastAsia="Times New Roman" w:hAnsi="Times New Roman"/>
          <w:sz w:val="24"/>
          <w:szCs w:val="24"/>
        </w:rPr>
        <w:t xml:space="preserve">For the reasons stated above, Defendant Northstar Retail Systems respectfully requests that this Court grant its motion to dismiss the complaint in its entirety.</w:t>
      </w:r>
    </w:p>
    <w:p>
      <w:pPr>
        <w:pBdr>
          <w:top w:val="single" w:sz="6" w:space="4"/>
        </w:pBdr>
        <w:spacing w:after="240" w:before="480"/>
      </w:pPr>
      <w:r>
        <w:rPr>
          <w:rFonts w:ascii="Times New Roman" w:cs="Times New Roman" w:eastAsia="Times New Roman" w:hAnsi="Times New Roman"/>
          <w:b/>
          <w:bCs/>
          <w:caps/>
          <w:sz w:val="24"/>
          <w:szCs w:val="24"/>
        </w:rPr>
        <w:t xml:space="preserve">APPENDIX -- CITATION VERIFICATION SUMMARY</w:t>
      </w:r>
    </w:p>
    <w:p>
      <w:pPr>
        <w:spacing w:after="160"/>
      </w:pPr>
      <w:r>
        <w:rPr>
          <w:rFonts w:ascii="Times New Roman" w:cs="Times New Roman" w:eastAsia="Times New Roman" w:hAnsi="Times New Roman"/>
          <w:sz w:val="22"/>
          <w:szCs w:val="22"/>
        </w:rPr>
        <w:t xml:space="preserve">Total: 1  </w:t>
      </w:r>
      <w:r>
        <w:rPr>
          <w:rFonts w:ascii="Times New Roman" w:cs="Times New Roman" w:eastAsia="Times New Roman" w:hAnsi="Times New Roman"/>
          <w:color w:val="16a34a"/>
          <w:sz w:val="22"/>
          <w:szCs w:val="22"/>
        </w:rPr>
        <w:t xml:space="preserve">Pass: 0  </w:t>
      </w:r>
      <w:r>
        <w:rPr>
          <w:rFonts w:ascii="Times New Roman" w:cs="Times New Roman" w:eastAsia="Times New Roman" w:hAnsi="Times New Roman"/>
          <w:color w:val="d97706"/>
          <w:sz w:val="22"/>
          <w:szCs w:val="22"/>
        </w:rPr>
        <w:t xml:space="preserve">Warn: 0  </w:t>
      </w:r>
      <w:r>
        <w:rPr>
          <w:rFonts w:ascii="Times New Roman" w:cs="Times New Roman" w:eastAsia="Times New Roman" w:hAnsi="Times New Roman"/>
          <w:color w:val="dc2626"/>
          <w:sz w:val="22"/>
          <w:szCs w:val="22"/>
        </w:rPr>
        <w:t xml:space="preserve">Fail: 0</w:t>
      </w:r>
    </w:p>
    <w:p>
      <w:pPr>
        <w:spacing w:after="200"/>
        <w:jc w:val="both"/>
      </w:pPr>
      <w:r>
        <w:rPr>
          <w:rFonts w:ascii="Times New Roman" w:cs="Times New Roman" w:eastAsia="Times New Roman" w:hAnsi="Times New Roman"/>
          <w:sz w:val="24"/>
          <w:szCs w:val="24"/>
        </w:rPr>
        <w:t xml:space="preserve">Citation verification is limited to locally indexed opinions. Citations not in the corpus return not_found.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2026-10-28T07:19:11.045Z</dcterms:created>
  <dcterms:modified xsi:type="dcterms:W3CDTF">2026-10-28T07:19:11.045Z</dcterms:modified>
</cp:coreProperties>
</file>

<file path=docProps/custom.xml><?xml version="1.0" encoding="utf-8"?>
<Properties xmlns="http://schemas.openxmlformats.org/officeDocument/2006/custom-properties" xmlns:vt="http://schemas.openxmlformats.org/officeDocument/2006/docPropsVTypes"/>
</file>