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jc w:val="center"/>
      </w:pPr>
      <w:r>
        <w:rPr>
          <w:rFonts w:ascii="Times New Roman" w:cs="Times New Roman" w:eastAsia="Times New Roman" w:hAnsi="Times New Roman"/>
          <w:b/>
          <w:bCs/>
          <w:caps/>
          <w:sz w:val="32"/>
          <w:szCs w:val="32"/>
        </w:rPr>
        <w:t xml:space="preserve">Prepare a motion to dismiss in S.D.N.Y.. Plaintiff Aurora Analytics LLC alleges that defendant Northstar Retail Systems breached a pilot software agreement after a six-week evaluation period. The written pilot agreement stated that any production deployment required a later signed order form, but no order form was signed. The complaint asserts breach of contract, promissory estoppel, and unjust enrichment based on alleged oral assurances that Northstar would proceed to a paid rollout. Northstar </w:t>
      </w:r>
    </w:p>
    <w:p>
      <w:pPr>
        <w:spacing w:after="80"/>
      </w:pPr>
      <w:r>
        <w:rPr>
          <w:rFonts w:ascii="Times New Roman" w:cs="Times New Roman" w:eastAsia="Times New Roman" w:hAnsi="Times New Roman"/>
          <w:b/>
          <w:bCs/>
          <w:sz w:val="20"/>
          <w:szCs w:val="20"/>
        </w:rPr>
        <w:t xml:space="preserve">Motion Type: </w:t>
      </w:r>
      <w:r>
        <w:rPr>
          <w:rFonts w:ascii="Times New Roman" w:cs="Times New Roman" w:eastAsia="Times New Roman" w:hAnsi="Times New Roman"/>
          <w:sz w:val="20"/>
          <w:szCs w:val="20"/>
        </w:rPr>
        <w:t xml:space="preserve">motion to dismiss</w:t>
      </w:r>
    </w:p>
    <w:p>
      <w:pPr>
        <w:spacing w:after="80"/>
      </w:pPr>
      <w:r>
        <w:rPr>
          <w:rFonts w:ascii="Times New Roman" w:cs="Times New Roman" w:eastAsia="Times New Roman" w:hAnsi="Times New Roman"/>
          <w:b/>
          <w:bCs/>
          <w:sz w:val="20"/>
          <w:szCs w:val="20"/>
        </w:rPr>
        <w:t xml:space="preserve">Jurisdiction: </w:t>
      </w:r>
      <w:r>
        <w:rPr>
          <w:rFonts w:ascii="Times New Roman" w:cs="Times New Roman" w:eastAsia="Times New Roman" w:hAnsi="Times New Roman"/>
          <w:sz w:val="20"/>
          <w:szCs w:val="20"/>
        </w:rPr>
        <w:t xml:space="preserve">SDNY</w:t>
      </w:r>
    </w:p>
    <w:p>
      <w:pPr>
        <w:spacing w:after="80"/>
      </w:pPr>
      <w:r>
        <w:rPr>
          <w:rFonts w:ascii="Times New Roman" w:cs="Times New Roman" w:eastAsia="Times New Roman" w:hAnsi="Times New Roman"/>
          <w:b/>
          <w:bCs/>
          <w:sz w:val="20"/>
          <w:szCs w:val="20"/>
        </w:rPr>
        <w:t xml:space="preserve">Court: </w:t>
      </w:r>
      <w:r>
        <w:rPr>
          <w:rFonts w:ascii="Times New Roman" w:cs="Times New Roman" w:eastAsia="Times New Roman" w:hAnsi="Times New Roman"/>
          <w:sz w:val="20"/>
          <w:szCs w:val="20"/>
        </w:rPr>
        <w:t xml:space="preserve">S.D.N.Y.</w:t>
      </w:r>
    </w:p>
    <w:p>
      <w:pPr>
        <w:spacing w:after="80"/>
      </w:pPr>
      <w:r>
        <w:rPr>
          <w:rFonts w:ascii="Times New Roman" w:cs="Times New Roman" w:eastAsia="Times New Roman" w:hAnsi="Times New Roman"/>
          <w:b/>
          <w:bCs/>
          <w:sz w:val="20"/>
          <w:szCs w:val="20"/>
        </w:rPr>
        <w:t xml:space="preserve">Version: </w:t>
      </w:r>
      <w:r>
        <w:rPr>
          <w:rFonts w:ascii="Times New Roman" w:cs="Times New Roman" w:eastAsia="Times New Roman" w:hAnsi="Times New Roman"/>
          <w:sz w:val="20"/>
          <w:szCs w:val="20"/>
        </w:rPr>
        <w:t xml:space="preserve">v1</w:t>
      </w:r>
    </w:p>
    <w:p>
      <w:pPr>
        <w:spacing w:after="80"/>
      </w:pPr>
      <w:r>
        <w:rPr>
          <w:rFonts w:ascii="Times New Roman" w:cs="Times New Roman" w:eastAsia="Times New Roman" w:hAnsi="Times New Roman"/>
          <w:b/>
          <w:bCs/>
          <w:sz w:val="20"/>
          <w:szCs w:val="20"/>
        </w:rPr>
        <w:t xml:space="preserve">Exported: </w:t>
      </w:r>
      <w:r>
        <w:rPr>
          <w:rFonts w:ascii="Times New Roman" w:cs="Times New Roman" w:eastAsia="Times New Roman" w:hAnsi="Times New Roman"/>
          <w:sz w:val="20"/>
          <w:szCs w:val="20"/>
        </w:rPr>
        <w:t xml:space="preserve">June 28, 2026</w:t>
      </w:r>
    </w:p>
    <w:p>
      <w:pPr>
        <w:spacing w:after="80"/>
      </w:pPr>
      <w:r>
        <w:rPr>
          <w:rFonts w:ascii="Times New Roman" w:cs="Times New Roman" w:eastAsia="Times New Roman" w:hAnsi="Times New Roman"/>
          <w:b/>
          <w:bCs/>
          <w:sz w:val="20"/>
          <w:szCs w:val="20"/>
        </w:rPr>
        <w:t xml:space="preserve">Run ID: </w:t>
      </w:r>
      <w:r>
        <w:rPr>
          <w:rFonts w:ascii="Times New Roman" w:cs="Times New Roman" w:eastAsia="Times New Roman" w:hAnsi="Times New Roman"/>
          <w:sz w:val="20"/>
          <w:szCs w:val="20"/>
        </w:rPr>
        <w:t xml:space="preserve">8c5b7e43-50ce-4f62-9cfd-6af6c273e3ec</w:t>
      </w:r>
    </w:p>
    <w:p>
      <w:pPr>
        <w:pBdr>
          <w:bottom w:val="single" w:sz="6" w:space="4"/>
        </w:pBdr>
        <w:spacing w:after="400" w:before="200"/>
      </w:pPr>
      <w:r>
        <w:rPr>
          <w:rFonts w:ascii="Times New Roman" w:cs="Times New Roman" w:eastAsia="Times New Roman" w:hAnsi="Times New Roman"/>
          <w:i/>
          <w:iCs/>
          <w:color w:val="666666"/>
          <w:sz w:val="18"/>
          <w:szCs w:val="18"/>
        </w:rPr>
        <w:t xml:space="preserve">NOTICE: This document is a draft generated for review purposes only. It does not constitute legal advice and is not court-filing ready.</w:t>
      </w:r>
    </w:p>
    <w:p>
      <w:pPr>
        <w:pStyle w:val="Heading1"/>
        <w:pStyle w:val="Heading1"/>
        <w:spacing w:after="160" w:before="320"/>
      </w:pPr>
      <w:r>
        <w:t xml:space="preserve">PRELIMINARY STATEMENT</w:t>
      </w:r>
    </w:p>
    <w:p>
      <w:pPr>
        <w:spacing w:after="200"/>
        <w:jc w:val="both"/>
      </w:pPr>
      <w:r>
        <w:rPr>
          <w:rFonts w:ascii="Times New Roman" w:cs="Times New Roman" w:eastAsia="Times New Roman" w:hAnsi="Times New Roman"/>
          <w:sz w:val="24"/>
          <w:szCs w:val="24"/>
        </w:rPr>
        <w:t xml:space="preserve">Defendant Northstar Retail Systems respectfully moves this Court to dismiss the complaint filed by Plaintiff Aurora Analytics LLC. The complaint fails to establish the existence of a binding production contract, lacks allegations of a definite promise beyond preliminary negotiations, and improperly duplicates quasi-contract claims governed by the pilot agreement.</w:t>
      </w:r>
    </w:p>
    <w:p>
      <w:pPr>
        <w:pStyle w:val="Heading1"/>
        <w:pStyle w:val="Heading1"/>
        <w:spacing w:after="160" w:before="320"/>
      </w:pPr>
      <w:r>
        <w:t xml:space="preserve">STATEMENT OF RELEVANT FACTS</w:t>
      </w:r>
    </w:p>
    <w:p>
      <w:pPr>
        <w:spacing w:after="200"/>
        <w:jc w:val="both"/>
      </w:pPr>
      <w:r>
        <w:rPr>
          <w:rFonts w:ascii="Times New Roman" w:cs="Times New Roman" w:eastAsia="Times New Roman" w:hAnsi="Times New Roman"/>
          <w:sz w:val="24"/>
          <w:szCs w:val="24"/>
        </w:rPr>
        <w:t xml:space="preserve">Plaintiff Aurora Analytics LLC entered into a pilot software agreement with Defendant Northstar Retail Systems, which allowed Aurora to configure a sample dashboard for Northstar. The pilot agreement explicitly stated that any production deployment would require a later signed order form, which was never executed. Aurora alleges that Northstar employees expressed positive feedback about the pilot and discussed potential rollout timing, but no formal agreement was reached.</w:t>
      </w:r>
    </w:p>
    <w:p>
      <w:pPr>
        <w:pStyle w:val="Heading1"/>
        <w:pStyle w:val="Heading1"/>
        <w:spacing w:after="160" w:before="320"/>
      </w:pPr>
      <w:r>
        <w:t xml:space="preserve">LEGAL STANDARD</w:t>
      </w:r>
    </w:p>
    <w:p>
      <w:pPr>
        <w:spacing w:after="200"/>
        <w:jc w:val="both"/>
      </w:pPr>
      <w:r>
        <w:rPr>
          <w:rFonts w:ascii="Times New Roman" w:cs="Times New Roman" w:eastAsia="Times New Roman" w:hAnsi="Times New Roman"/>
          <w:sz w:val="24"/>
          <w:szCs w:val="24"/>
        </w:rPr>
        <w:t xml:space="preserve">To survive a motion to dismiss, a complaint must contain sufficient factual matter, accepted as true, to 'state a claim to relief that is plausible on its face.' Ashcroft v. Iqbal, 556 U.S. 662, 678 (2009). In this case, the complaint fails to meet this standard as it does not identify a binding contract or a definite promise. NOTE: No verified legal citations were retrieved. This draft must be supplemented with properly researched authority before use.</w:t>
      </w:r>
    </w:p>
    <w:p>
      <w:pPr>
        <w:pStyle w:val="Heading1"/>
        <w:pStyle w:val="Heading1"/>
        <w:spacing w:after="160" w:before="320"/>
      </w:pPr>
      <w:r>
        <w:t xml:space="preserve">ARGUMENT</w:t>
      </w:r>
    </w:p>
    <w:p>
      <w:pPr>
        <w:spacing w:after="200"/>
        <w:jc w:val="both"/>
      </w:pPr>
      <w:r>
        <w:rPr>
          <w:rFonts w:ascii="Times New Roman" w:cs="Times New Roman" w:eastAsia="Times New Roman" w:hAnsi="Times New Roman"/>
          <w:sz w:val="24"/>
          <w:szCs w:val="24"/>
        </w:rPr>
        <w:t xml:space="preserve">First, the complaint does not identify a binding production contract as required by the pilot agreement, which clearly states that a signed order form is necessary for any production deployment. Second, the allegations of promissory estoppel are insufficient as they rely on oral assurances that do not constitute a definite promise. Finally, the claims of unjust enrichment are duplicative of the breach of contract claim, as the pilot agreement governs the parties' relationship and precludes quasi-contract claims.</w:t>
      </w:r>
    </w:p>
    <w:p>
      <w:pPr>
        <w:pStyle w:val="Heading1"/>
        <w:pStyle w:val="Heading1"/>
        <w:spacing w:after="160" w:before="320"/>
      </w:pPr>
      <w:r>
        <w:t xml:space="preserve">CONCLUSION</w:t>
      </w:r>
    </w:p>
    <w:p>
      <w:pPr>
        <w:spacing w:after="200"/>
        <w:jc w:val="both"/>
      </w:pPr>
      <w:r>
        <w:rPr>
          <w:rFonts w:ascii="Times New Roman" w:cs="Times New Roman" w:eastAsia="Times New Roman" w:hAnsi="Times New Roman"/>
          <w:sz w:val="24"/>
          <w:szCs w:val="24"/>
        </w:rPr>
        <w:t xml:space="preserve">For the foregoing reasons, Defendant Northstar Retail Systems respectfully requests that this Court grant its motion to dismiss the complaint in its entirety.</w:t>
      </w:r>
    </w:p>
    <w:p>
      <w:pPr>
        <w:pBdr>
          <w:top w:val="single" w:sz="6" w:space="4"/>
        </w:pBdr>
        <w:spacing w:after="240" w:before="480"/>
      </w:pPr>
      <w:r>
        <w:rPr>
          <w:rFonts w:ascii="Times New Roman" w:cs="Times New Roman" w:eastAsia="Times New Roman" w:hAnsi="Times New Roman"/>
          <w:b/>
          <w:bCs/>
          <w:caps/>
          <w:sz w:val="24"/>
          <w:szCs w:val="24"/>
        </w:rPr>
        <w:t xml:space="preserve">APPENDIX -- CITATION VERIFICATION SUMMARY</w:t>
      </w:r>
    </w:p>
    <w:p>
      <w:pPr>
        <w:spacing w:after="160"/>
      </w:pPr>
      <w:r>
        <w:rPr>
          <w:rFonts w:ascii="Times New Roman" w:cs="Times New Roman" w:eastAsia="Times New Roman" w:hAnsi="Times New Roman"/>
          <w:sz w:val="22"/>
          <w:szCs w:val="22"/>
        </w:rPr>
        <w:t xml:space="preserve">Total: 1  </w:t>
      </w:r>
      <w:r>
        <w:rPr>
          <w:rFonts w:ascii="Times New Roman" w:cs="Times New Roman" w:eastAsia="Times New Roman" w:hAnsi="Times New Roman"/>
          <w:color w:val="16a34a"/>
          <w:sz w:val="22"/>
          <w:szCs w:val="22"/>
        </w:rPr>
        <w:t xml:space="preserve">Pass: 0  </w:t>
      </w:r>
      <w:r>
        <w:rPr>
          <w:rFonts w:ascii="Times New Roman" w:cs="Times New Roman" w:eastAsia="Times New Roman" w:hAnsi="Times New Roman"/>
          <w:color w:val="d97706"/>
          <w:sz w:val="22"/>
          <w:szCs w:val="22"/>
        </w:rPr>
        <w:t xml:space="preserve">Warn: 0  </w:t>
      </w:r>
      <w:r>
        <w:rPr>
          <w:rFonts w:ascii="Times New Roman" w:cs="Times New Roman" w:eastAsia="Times New Roman" w:hAnsi="Times New Roman"/>
          <w:color w:val="dc2626"/>
          <w:sz w:val="22"/>
          <w:szCs w:val="22"/>
        </w:rPr>
        <w:t xml:space="preserve">Fail: 0</w:t>
      </w:r>
    </w:p>
    <w:p>
      <w:pPr>
        <w:spacing w:after="200"/>
        <w:jc w:val="both"/>
      </w:pPr>
      <w:r>
        <w:rPr>
          <w:rFonts w:ascii="Times New Roman" w:cs="Times New Roman" w:eastAsia="Times New Roman" w:hAnsi="Times New Roman"/>
          <w:sz w:val="24"/>
          <w:szCs w:val="24"/>
        </w:rPr>
        <w:t xml:space="preserve">Citation verification is limited to locally indexed opinions. Citations not in the corpus return not_found.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rPr>
      <w:rFonts w:ascii="Times New Roman" w:cs="Times New Roman" w:eastAsia="Times New Roman" w:hAnsi="Times New Roman"/>
      <w:b/>
      <w:bCs/>
      <w:cap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2026-06-28T04:22:47.778Z</dcterms:created>
  <dcterms:modified xsi:type="dcterms:W3CDTF">2026-06-28T04:22:47.778Z</dcterms:modified>
</cp:coreProperties>
</file>

<file path=docProps/custom.xml><?xml version="1.0" encoding="utf-8"?>
<Properties xmlns="http://schemas.openxmlformats.org/officeDocument/2006/custom-properties" xmlns:vt="http://schemas.openxmlformats.org/officeDocument/2006/docPropsVTypes"/>
</file>