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Motion to dismiss for failure to state a claim</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Federal</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Federal Court</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e3d90a29-2cd7-4875-8778-42f5646eacf5</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for failure to state a claim upon which relief can be granted. The allegations in the complaint do not establish a valid claim for breach of contract, as the pilot software agreement explicitly disclaims any obligation to purchase a production subscription.</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on January 1, 2023. The pilot agreement clearly stated that there was no obligation for Northstar to purchase a production subscription. Furthermore, no production order form was ever signed by either party. Although employees of Northstar praised the pilot program, they made no binding commitments to proceed with a production subscription.</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In order to survive a motion to dismiss under Rule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plaintiff. However, mere conclusions or unwarranted deductions of fact are not sufficient to withstand a motion to dismiss.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fails to state a claim for breach of contract because the pilot software agreement explicitly disclaims any obligation for Northstar to purchase a production subscription. Without a signed production order form or any binding commitment from Northstar, there can be no breach of contract. The praise given by Northstar's employees regarding the pilot does not constitute a contractual obligation. Therefore, the allegations in the complaint do not meet the legal standard required to establish a claim.</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filed by Plaintiff Aurora Analytics LLC for failure to state a claim upon which relief can be granted.</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2026-10-28T07:30:59.468Z</dcterms:created>
  <dcterms:modified xsi:type="dcterms:W3CDTF">2026-10-28T07:30:59.468Z</dcterms:modified>
</cp:coreProperties>
</file>

<file path=docProps/custom.xml><?xml version="1.0" encoding="utf-8"?>
<Properties xmlns="http://schemas.openxmlformats.org/officeDocument/2006/custom-properties" xmlns:vt="http://schemas.openxmlformats.org/officeDocument/2006/docPropsVTypes"/>
</file>