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e93846be-3168-4b5e-aaa9-aa87f1645155</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allege sufficient facts to establish the existence of a valid contract or any breach thereof.</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On January 1, 2023, Plaintiff entered into a written services agreement with Defendant. Despite this agreement, Defendant did not deliver the contracted services and failed to provide any notice of its intent not to perform.</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In considering a motion to dismiss under Rule 12(b)(6), the Court must accept all factual allegations in the complaint as true and draw all reasonable inferences in favor of the plaintiff. However, the complaint must contain sufficient factual matter, accepted as true, to 'state a claim to relief that is plausible on its face.'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Plaintiff's complaint does not adequately plead the existence of a valid contract. The mere existence of a written agreement does not suffice; Plaintiff must also demonstrate that the terms of the contract were clear and that Defendant's failure to perform constituted a breach. Here, the complaint lacks specific allegations regarding the terms of the contract and how Defendant's actions constituted a breach. Therefore, the claim should be dismissed for failure to state a claim.</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respectfully requests that this Court grant its motion to dismiss Plaintiff's breach of contract claim for failure to state a claim under Rule 12(b)(6).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2026-10-28T07:31:19.490Z</dcterms:created>
  <dcterms:modified xsi:type="dcterms:W3CDTF">2026-10-28T07:31:19.490Z</dcterms:modified>
</cp:coreProperties>
</file>

<file path=docProps/custom.xml><?xml version="1.0" encoding="utf-8"?>
<Properties xmlns="http://schemas.openxmlformats.org/officeDocument/2006/custom-properties" xmlns:vt="http://schemas.openxmlformats.org/officeDocument/2006/docPropsVTypes"/>
</file>