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Motion to dismiss for failure to state a claim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Motion Type: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motion to dismiss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Jurisdiction: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Federal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Court: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Federal Court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Version: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v1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Exported: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October 28, 2026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Run ID: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f669b7f4-ae09-451f-bb61-88e7e634de1b</w:t>
      </w:r>
    </w:p>
    <w:p>
      <w:pPr>
        <w:pBdr>
          <w:bottom w:val="single" w:sz="6" w:space="4"/>
        </w:pBdr>
        <w:spacing w:after="400" w:before="2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NOTICE: This document is a draft generated for review purposes only. It does not constitute legal advice and is not court-filing ready.</w:t>
      </w:r>
    </w:p>
    <w:p>
      <w:pPr>
        <w:pStyle w:val="Heading1"/>
        <w:pStyle w:val="Heading1"/>
        <w:spacing w:after="160" w:before="320"/>
      </w:pPr>
      <w:r>
        <w:t xml:space="preserve">WORKFLOW EVALUATION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[INTERNAL QUALITY SIGNAL] Not a compliance certification or legal advice.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Run ID: f669b7f4-ae09-451f-bb61-88e7e634de1b
Generated: 2026-05-15T14:02:11.997Z
Verdict: FAIL
Overall Confidence: 12%</w:t>
      </w:r>
    </w:p>
    <w:p>
      <w:pPr>
        <w:pStyle w:val="Heading1"/>
        <w:pStyle w:val="Heading1"/>
        <w:spacing w:after="160" w:before="320"/>
      </w:pPr>
      <w:r>
        <w:t xml:space="preserve">SCORES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Faithfulness:         0%
Citation Pass Rate:   0%
Retrieval Coverage:   0%
Local Rules:          100%
Adversarial Risk:     80%
Unsupported Claim Risk: 32%
Judge Brief Coverage: 0%</w:t>
      </w:r>
    </w:p>
    <w:p>
      <w:pPr>
        <w:pStyle w:val="Heading1"/>
        <w:pStyle w:val="Heading1"/>
        <w:spacing w:after="160" w:before="320"/>
      </w:pPr>
      <w:r>
        <w:t xml:space="preserve">WARNINGS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No authority was retrieved. Draft may lack verified legal citations.
- Overall confidence is below 50%. Review the draft and citation verification results before use.</w:t>
      </w:r>
    </w:p>
    <w:p>
      <w:pPr>
        <w:pStyle w:val="Heading1"/>
        <w:pStyle w:val="Heading1"/>
        <w:spacing w:after="160" w:before="320"/>
      </w:pPr>
      <w:r>
        <w:t xml:space="preserve">LIMITATIONS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Scores are internal quality signals derived from the workflow outputs.
- Citation pass rate depends on the size and coverage of the indexed corpus.
- Retrieval coverage is estimated from citation count, not ground-truth recall.
- This evaluation does not constitute legal advice or a compliance certification.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rPr>
      <w:rFonts w:ascii="Times New Roman" w:cs="Times New Roman" w:eastAsia="Times New Roman" w:hAnsi="Times New Roman"/>
      <w:b/>
      <w:bCs/>
      <w:cap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2026-10-28T07:18:07.225Z</dcterms:created>
  <dcterms:modified xsi:type="dcterms:W3CDTF">2026-10-28T07:18:07.225Z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